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7D" w:rsidRDefault="00AD0770" w:rsidP="00AD07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48" w:firstLine="708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</w:p>
    <w:p w:rsidR="00AD1F7D" w:rsidRDefault="00AD1F7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D1F7D" w:rsidRDefault="00AD07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ІНФОРМАЦІЙНА КАРТКА ПУБЛІЧНОЇ ПОСЛУГИ </w:t>
      </w:r>
    </w:p>
    <w:p w:rsidR="00AD1F7D" w:rsidRDefault="00AD077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Послуга</w:t>
      </w:r>
      <w:r>
        <w:rPr>
          <w:b/>
          <w:i/>
          <w:color w:val="000000"/>
          <w:sz w:val="24"/>
          <w:szCs w:val="24"/>
        </w:rPr>
        <w:t xml:space="preserve">: </w:t>
      </w:r>
      <w:r w:rsidRPr="00AD0770">
        <w:rPr>
          <w:b/>
          <w:i/>
          <w:color w:val="000000"/>
          <w:sz w:val="28"/>
          <w:szCs w:val="28"/>
        </w:rPr>
        <w:t>Внесення змін до повідомлення про початок виконання підготовчих робіт</w:t>
      </w:r>
      <w:r>
        <w:rPr>
          <w:b/>
          <w:i/>
          <w:color w:val="000000"/>
          <w:sz w:val="24"/>
          <w:szCs w:val="24"/>
        </w:rPr>
        <w:t xml:space="preserve"> </w:t>
      </w:r>
    </w:p>
    <w:p w:rsidR="00AD1F7D" w:rsidRDefault="00AD1F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tbl>
      <w:tblPr>
        <w:tblStyle w:val="a5"/>
        <w:tblW w:w="980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2"/>
        <w:gridCol w:w="3724"/>
        <w:gridCol w:w="5517"/>
      </w:tblGrid>
      <w:tr w:rsidR="00AD1F7D" w:rsidTr="00AD0770">
        <w:trPr>
          <w:trHeight w:val="179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Інформація про  центр надання адміністративних послуг</w:t>
            </w:r>
          </w:p>
        </w:tc>
      </w:tr>
      <w:tr w:rsidR="00AD1F7D" w:rsidTr="00AD0770">
        <w:trPr>
          <w:trHeight w:val="463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Найменування центру надання адміністративних послуг, у якому здійснюється обслуговування суб’єкта звернення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70" w:rsidRPr="00C31A9D" w:rsidRDefault="00AD0770" w:rsidP="00AD0770">
            <w:pPr>
              <w:suppressAutoHyphens/>
              <w:autoSpaceDN w:val="0"/>
              <w:ind w:left="-38" w:hanging="19"/>
              <w:jc w:val="both"/>
              <w:textAlignment w:val="baseline"/>
              <w:rPr>
                <w:b/>
                <w:kern w:val="3"/>
                <w:sz w:val="24"/>
                <w:szCs w:val="24"/>
                <w:lang w:eastAsia="uk-UA"/>
              </w:rPr>
            </w:pPr>
            <w:r w:rsidRPr="00C31A9D">
              <w:rPr>
                <w:b/>
                <w:kern w:val="3"/>
                <w:sz w:val="24"/>
                <w:szCs w:val="24"/>
                <w:lang w:eastAsia="uk-UA"/>
              </w:rPr>
              <w:t>Відділ «Центр надання адміністративних послуг» Новоушицької селищної ради</w:t>
            </w:r>
          </w:p>
          <w:p w:rsidR="00AD1F7D" w:rsidRDefault="00AD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D0770" w:rsidTr="00AD0770">
        <w:trPr>
          <w:trHeight w:val="1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770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770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Місцезнаходження Центру 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70" w:rsidRPr="00C31A9D" w:rsidRDefault="00AD0770" w:rsidP="00FF635D">
            <w:pPr>
              <w:suppressAutoHyphens/>
              <w:autoSpaceDN w:val="0"/>
              <w:ind w:hanging="57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C31A9D">
              <w:rPr>
                <w:kern w:val="3"/>
                <w:sz w:val="24"/>
                <w:szCs w:val="24"/>
                <w:lang w:eastAsia="uk-UA"/>
              </w:rPr>
              <w:t xml:space="preserve">вул. Подільська буд.12, </w:t>
            </w:r>
            <w:proofErr w:type="spellStart"/>
            <w:r w:rsidRPr="00C31A9D">
              <w:rPr>
                <w:kern w:val="3"/>
                <w:sz w:val="24"/>
                <w:szCs w:val="24"/>
                <w:lang w:eastAsia="uk-UA"/>
              </w:rPr>
              <w:t>смт</w:t>
            </w:r>
            <w:proofErr w:type="spellEnd"/>
            <w:r w:rsidRPr="00C31A9D">
              <w:rPr>
                <w:kern w:val="3"/>
                <w:sz w:val="24"/>
                <w:szCs w:val="24"/>
                <w:lang w:eastAsia="uk-UA"/>
              </w:rPr>
              <w:t xml:space="preserve">. Нова </w:t>
            </w:r>
            <w:proofErr w:type="spellStart"/>
            <w:r w:rsidRPr="00C31A9D">
              <w:rPr>
                <w:kern w:val="3"/>
                <w:sz w:val="24"/>
                <w:szCs w:val="24"/>
                <w:lang w:eastAsia="uk-UA"/>
              </w:rPr>
              <w:t>Ушиця</w:t>
            </w:r>
            <w:proofErr w:type="spellEnd"/>
            <w:r w:rsidRPr="00C31A9D">
              <w:rPr>
                <w:kern w:val="3"/>
                <w:sz w:val="24"/>
                <w:szCs w:val="24"/>
                <w:lang w:eastAsia="uk-UA"/>
              </w:rPr>
              <w:t xml:space="preserve"> Новоушицького району Хмельницької області,  32600</w:t>
            </w:r>
          </w:p>
          <w:p w:rsidR="00AD0770" w:rsidRPr="00C31A9D" w:rsidRDefault="00AD0770" w:rsidP="00FF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AD0770" w:rsidTr="00AD0770">
        <w:trPr>
          <w:trHeight w:val="3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770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770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щодо режиму роботи Центру та його територіальних підрозділів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70" w:rsidRPr="00C31A9D" w:rsidRDefault="00AD0770" w:rsidP="00FF635D">
            <w:pPr>
              <w:suppressAutoHyphens/>
              <w:autoSpaceDN w:val="0"/>
              <w:ind w:hanging="57"/>
              <w:jc w:val="both"/>
              <w:textAlignment w:val="baseline"/>
              <w:rPr>
                <w:iCs/>
                <w:kern w:val="3"/>
                <w:sz w:val="24"/>
                <w:szCs w:val="24"/>
                <w:lang w:eastAsia="uk-UA"/>
              </w:rPr>
            </w:pPr>
            <w:r w:rsidRPr="00C31A9D">
              <w:rPr>
                <w:iCs/>
                <w:kern w:val="3"/>
                <w:sz w:val="24"/>
                <w:szCs w:val="24"/>
                <w:lang w:eastAsia="uk-UA"/>
              </w:rPr>
              <w:t>Режим роботи ЦНАП:</w:t>
            </w:r>
          </w:p>
          <w:p w:rsidR="00AD0770" w:rsidRPr="0075348A" w:rsidRDefault="00AD0770" w:rsidP="00FF635D">
            <w:pPr>
              <w:ind w:left="57" w:hanging="57"/>
              <w:jc w:val="both"/>
              <w:rPr>
                <w:iCs/>
                <w:sz w:val="24"/>
                <w:szCs w:val="24"/>
                <w:lang w:eastAsia="uk-UA"/>
              </w:rPr>
            </w:pPr>
            <w:r w:rsidRPr="00C31A9D">
              <w:rPr>
                <w:iCs/>
                <w:sz w:val="24"/>
                <w:szCs w:val="24"/>
                <w:lang w:eastAsia="uk-UA"/>
              </w:rPr>
              <w:t>Понеділок</w:t>
            </w:r>
            <w:r>
              <w:rPr>
                <w:iCs/>
                <w:sz w:val="24"/>
                <w:szCs w:val="24"/>
                <w:lang w:eastAsia="uk-UA"/>
              </w:rPr>
              <w:t xml:space="preserve">, </w:t>
            </w:r>
            <w:r w:rsidRPr="00C31A9D">
              <w:rPr>
                <w:iCs/>
                <w:sz w:val="24"/>
                <w:szCs w:val="24"/>
                <w:lang w:eastAsia="uk-UA"/>
              </w:rPr>
              <w:t>вівторок, середа,</w:t>
            </w:r>
            <w:r>
              <w:rPr>
                <w:iCs/>
                <w:sz w:val="24"/>
                <w:szCs w:val="24"/>
                <w:lang w:eastAsia="uk-UA"/>
              </w:rPr>
              <w:t xml:space="preserve"> </w:t>
            </w:r>
            <w:r w:rsidRPr="00C31A9D">
              <w:rPr>
                <w:iCs/>
                <w:sz w:val="24"/>
                <w:szCs w:val="24"/>
                <w:lang w:eastAsia="uk-UA"/>
              </w:rPr>
              <w:t>четвер</w:t>
            </w:r>
            <w:r w:rsidRPr="0075348A">
              <w:rPr>
                <w:iCs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iCs/>
                <w:sz w:val="24"/>
                <w:szCs w:val="24"/>
                <w:lang w:eastAsia="uk-UA"/>
              </w:rPr>
              <w:t>з 8.00 до 16.00</w:t>
            </w:r>
          </w:p>
          <w:p w:rsidR="00AD0770" w:rsidRPr="00C31A9D" w:rsidRDefault="00AD0770" w:rsidP="00FF635D">
            <w:pPr>
              <w:ind w:left="57" w:hanging="57"/>
              <w:jc w:val="both"/>
              <w:rPr>
                <w:iCs/>
                <w:sz w:val="24"/>
                <w:szCs w:val="24"/>
                <w:lang w:eastAsia="uk-UA"/>
              </w:rPr>
            </w:pPr>
            <w:r w:rsidRPr="00C31A9D">
              <w:rPr>
                <w:iCs/>
                <w:sz w:val="24"/>
                <w:szCs w:val="24"/>
                <w:lang w:eastAsia="uk-UA"/>
              </w:rPr>
              <w:t>п’ятниця  з 8.00 до 1</w:t>
            </w:r>
            <w:r>
              <w:rPr>
                <w:iCs/>
                <w:sz w:val="24"/>
                <w:szCs w:val="24"/>
                <w:lang w:eastAsia="uk-UA"/>
              </w:rPr>
              <w:t>5</w:t>
            </w:r>
            <w:r w:rsidRPr="00C31A9D">
              <w:rPr>
                <w:iCs/>
                <w:sz w:val="24"/>
                <w:szCs w:val="24"/>
                <w:lang w:eastAsia="uk-UA"/>
              </w:rPr>
              <w:t xml:space="preserve">.00,  </w:t>
            </w:r>
          </w:p>
          <w:p w:rsidR="00AD0770" w:rsidRPr="00C31A9D" w:rsidRDefault="00AD0770" w:rsidP="00FF635D">
            <w:pPr>
              <w:ind w:left="57" w:hanging="57"/>
              <w:jc w:val="both"/>
              <w:rPr>
                <w:iCs/>
                <w:sz w:val="24"/>
                <w:szCs w:val="24"/>
                <w:lang w:eastAsia="uk-UA"/>
              </w:rPr>
            </w:pPr>
            <w:r w:rsidRPr="00C31A9D">
              <w:rPr>
                <w:iCs/>
                <w:sz w:val="24"/>
                <w:szCs w:val="24"/>
                <w:lang w:eastAsia="uk-UA"/>
              </w:rPr>
              <w:t xml:space="preserve">без перерви на обід </w:t>
            </w:r>
          </w:p>
          <w:p w:rsidR="00AD0770" w:rsidRPr="00C31A9D" w:rsidRDefault="00AD0770" w:rsidP="00FF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31A9D">
              <w:rPr>
                <w:iCs/>
                <w:sz w:val="24"/>
                <w:szCs w:val="24"/>
                <w:lang w:eastAsia="uk-UA"/>
              </w:rPr>
              <w:t>вихідний – субота,  неділя</w:t>
            </w:r>
          </w:p>
        </w:tc>
      </w:tr>
      <w:tr w:rsidR="00AD0770" w:rsidTr="00AD0770">
        <w:trPr>
          <w:trHeight w:val="9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770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0" w:name="_GoBack" w:colFirst="2" w:colLast="2"/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770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Телефон/факс (довідки), адреса електронної пошти та </w:t>
            </w:r>
            <w:proofErr w:type="spellStart"/>
            <w:r>
              <w:rPr>
                <w:color w:val="000000"/>
                <w:sz w:val="24"/>
                <w:szCs w:val="24"/>
              </w:rPr>
              <w:t>вебсайт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Центру 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70" w:rsidRDefault="00AD0770" w:rsidP="00FF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Тел.: </w:t>
            </w:r>
            <w:r>
              <w:rPr>
                <w:kern w:val="3"/>
              </w:rPr>
              <w:t>(03847) 3-00-55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AD0770" w:rsidRPr="00E46F11" w:rsidRDefault="00AD0770" w:rsidP="00FF635D">
            <w:pPr>
              <w:suppressAutoHyphens/>
              <w:autoSpaceDN w:val="0"/>
              <w:ind w:hanging="57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E46F11">
              <w:rPr>
                <w:b/>
                <w:iCs/>
                <w:kern w:val="3"/>
                <w:sz w:val="24"/>
                <w:szCs w:val="24"/>
                <w:u w:val="single"/>
                <w:lang w:eastAsia="uk-UA"/>
              </w:rPr>
              <w:t>http://</w:t>
            </w:r>
            <w:r w:rsidRPr="00E46F11">
              <w:rPr>
                <w:b/>
                <w:iCs/>
                <w:kern w:val="3"/>
                <w:sz w:val="24"/>
                <w:szCs w:val="24"/>
                <w:u w:val="single"/>
                <w:lang w:val="en-US" w:eastAsia="uk-UA"/>
              </w:rPr>
              <w:t>www</w:t>
            </w:r>
            <w:r w:rsidRPr="00E46F11">
              <w:rPr>
                <w:b/>
                <w:iCs/>
                <w:kern w:val="3"/>
                <w:sz w:val="24"/>
                <w:szCs w:val="24"/>
                <w:u w:val="single"/>
                <w:lang w:eastAsia="uk-UA"/>
              </w:rPr>
              <w:t>.</w:t>
            </w:r>
            <w:r w:rsidRPr="00E46F11">
              <w:rPr>
                <w:b/>
                <w:iCs/>
                <w:kern w:val="3"/>
                <w:sz w:val="24"/>
                <w:szCs w:val="24"/>
                <w:lang w:eastAsia="uk-UA"/>
              </w:rPr>
              <w:t xml:space="preserve"> </w:t>
            </w:r>
            <w:r w:rsidRPr="00E46F11">
              <w:rPr>
                <w:b/>
                <w:iCs/>
                <w:kern w:val="3"/>
                <w:sz w:val="24"/>
                <w:szCs w:val="24"/>
                <w:u w:val="single"/>
                <w:lang w:eastAsia="uk-UA"/>
              </w:rPr>
              <w:t>http://novagromada.gov.ua/</w:t>
            </w:r>
          </w:p>
          <w:p w:rsidR="00AD0770" w:rsidRPr="00E46F11" w:rsidRDefault="00AD0770" w:rsidP="00FF635D">
            <w:pPr>
              <w:suppressAutoHyphens/>
              <w:autoSpaceDN w:val="0"/>
              <w:ind w:hanging="57"/>
              <w:jc w:val="both"/>
              <w:textAlignment w:val="baseline"/>
              <w:rPr>
                <w:kern w:val="3"/>
                <w:sz w:val="24"/>
                <w:szCs w:val="24"/>
              </w:rPr>
            </w:pPr>
            <w:proofErr w:type="spellStart"/>
            <w:r w:rsidRPr="00E46F11">
              <w:rPr>
                <w:b/>
                <w:iCs/>
                <w:kern w:val="3"/>
                <w:sz w:val="24"/>
                <w:szCs w:val="24"/>
                <w:lang w:val="en-US" w:eastAsia="uk-UA"/>
              </w:rPr>
              <w:t>cnap</w:t>
            </w:r>
            <w:proofErr w:type="spellEnd"/>
            <w:r w:rsidRPr="00E46F11">
              <w:rPr>
                <w:b/>
                <w:iCs/>
                <w:kern w:val="3"/>
                <w:sz w:val="24"/>
                <w:szCs w:val="24"/>
                <w:lang w:eastAsia="uk-UA"/>
              </w:rPr>
              <w:t>_</w:t>
            </w:r>
            <w:r w:rsidRPr="00E46F11">
              <w:rPr>
                <w:b/>
                <w:iCs/>
                <w:kern w:val="3"/>
                <w:sz w:val="24"/>
                <w:szCs w:val="24"/>
                <w:lang w:val="en-US" w:eastAsia="uk-UA"/>
              </w:rPr>
              <w:t>nu</w:t>
            </w:r>
            <w:r w:rsidRPr="00E46F11">
              <w:rPr>
                <w:b/>
                <w:iCs/>
                <w:kern w:val="3"/>
                <w:sz w:val="24"/>
                <w:szCs w:val="24"/>
                <w:lang w:eastAsia="uk-UA"/>
              </w:rPr>
              <w:t>_</w:t>
            </w:r>
            <w:proofErr w:type="spellStart"/>
            <w:r w:rsidRPr="00E46F11">
              <w:rPr>
                <w:b/>
                <w:iCs/>
                <w:kern w:val="3"/>
                <w:sz w:val="24"/>
                <w:szCs w:val="24"/>
                <w:lang w:val="en-US" w:eastAsia="uk-UA"/>
              </w:rPr>
              <w:t>otg</w:t>
            </w:r>
            <w:proofErr w:type="spellEnd"/>
            <w:r w:rsidRPr="00E46F11">
              <w:rPr>
                <w:b/>
                <w:iCs/>
                <w:kern w:val="3"/>
                <w:sz w:val="24"/>
                <w:szCs w:val="24"/>
                <w:lang w:eastAsia="uk-UA"/>
              </w:rPr>
              <w:t>@ukr.net</w:t>
            </w:r>
          </w:p>
          <w:p w:rsidR="00AD0770" w:rsidRDefault="00AD0770" w:rsidP="00FF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bookmarkEnd w:id="0"/>
      <w:tr w:rsidR="00AD1F7D" w:rsidTr="00AD0770">
        <w:trPr>
          <w:trHeight w:val="148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Нормативні акти, якими регламентується надання публічної  послуги</w:t>
            </w:r>
          </w:p>
        </w:tc>
      </w:tr>
      <w:tr w:rsidR="00AD1F7D" w:rsidTr="00AD0770">
        <w:trPr>
          <w:trHeight w:val="4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Кодекси, Закони України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Закон України «Про регулювання містобудівної діяльності»</w:t>
            </w:r>
          </w:p>
        </w:tc>
      </w:tr>
      <w:tr w:rsidR="00AD1F7D" w:rsidTr="00AD0770">
        <w:trPr>
          <w:trHeight w:val="9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Постанови Кабінету Міністрів України від 13 квітня 2011 року №466 «Деякі питання виконання підготовчих і будівельних робіт», зі змінами, 23 червня 2021 року №681 «Деякі питання забезпечення функціонування Єдиної державної електронної системи у сфері </w:t>
            </w:r>
            <w:r>
              <w:rPr>
                <w:sz w:val="24"/>
                <w:szCs w:val="24"/>
              </w:rPr>
              <w:t>будівн</w:t>
            </w:r>
            <w:r>
              <w:rPr>
                <w:sz w:val="24"/>
                <w:szCs w:val="24"/>
              </w:rPr>
              <w:t>ицтва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AD1F7D" w:rsidTr="00AD0770">
        <w:trPr>
          <w:trHeight w:val="5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D1F7D" w:rsidTr="00AD0770">
        <w:trPr>
          <w:trHeight w:val="5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D1F7D" w:rsidTr="00AD0770">
        <w:trPr>
          <w:trHeight w:val="319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Умови отримання публічної послуги</w:t>
            </w:r>
          </w:p>
        </w:tc>
      </w:tr>
      <w:tr w:rsidR="00AD1F7D" w:rsidTr="00AD0770">
        <w:trPr>
          <w:trHeight w:val="32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Підстава для одержання публічної послуги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Право на будівництво об’єкта передано іншому замовнику; змінено осіб, відповідальних за проведення авторського та технічного нагляду або змінено інші відомості про початок виконання підготовчих робіт, що містяться в Реєстрі будівельної діяльності.</w:t>
            </w:r>
          </w:p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Ви</w:t>
            </w:r>
            <w:r>
              <w:rPr>
                <w:color w:val="000000"/>
                <w:sz w:val="24"/>
                <w:szCs w:val="24"/>
              </w:rPr>
              <w:t xml:space="preserve">явлення замовником технічної помилки (описки, друкарської, граматичної, арифметичної помилки) у поданому повідомленні про початок виконання підготовчих робіт або отримання відомостей про виявлення недостовірних даних, наведених у поданому повідомленні, що </w:t>
            </w:r>
            <w:r>
              <w:rPr>
                <w:color w:val="000000"/>
                <w:sz w:val="24"/>
                <w:szCs w:val="24"/>
              </w:rPr>
              <w:t xml:space="preserve">не є </w:t>
            </w:r>
            <w:r>
              <w:rPr>
                <w:color w:val="000000"/>
                <w:sz w:val="24"/>
                <w:szCs w:val="24"/>
              </w:rPr>
              <w:lastRenderedPageBreak/>
              <w:t>підставою вважати об’єкт самочинним будівництвом</w:t>
            </w:r>
          </w:p>
        </w:tc>
      </w:tr>
      <w:tr w:rsidR="00AD1F7D" w:rsidTr="00AD0770">
        <w:trPr>
          <w:trHeight w:val="3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Вичерпний перелік документів, необхідних для отримання публічної послуги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Один примірник повідомлення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 початок виконання підготовчих робіт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 виправленими (достовірними) даними щодо інформації, яка потребує змін, відповідно до ст. 35 Закону України «Про регулювання містобудівної діяльності», за формою згідно з додатком 1 до Порядку виконання підготовчих та будівельних робіт, затвердженого Пост</w:t>
            </w:r>
            <w:r>
              <w:rPr>
                <w:color w:val="000000"/>
                <w:sz w:val="24"/>
                <w:szCs w:val="24"/>
              </w:rPr>
              <w:t xml:space="preserve">ановою Кабінету Міністрів України від 13 квітня 2011 року №466 «Деякі питання виконання підготовчих і будівельних робіт», зі змінами (надалі – Порядок)* </w:t>
            </w:r>
          </w:p>
        </w:tc>
      </w:tr>
      <w:tr w:rsidR="00AD1F7D" w:rsidTr="00AD0770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Порядок та спосіб подання документів 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Протягом трьох робочих днів з дня настання змін, самостійного виявлення технічної помилки (описки, друкарської, граматичної, арифметичної помилки) або отримання відомостей про виявлення недостовірних даних за вибором замовника:</w:t>
            </w:r>
          </w:p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 в електронній формі через</w:t>
            </w:r>
            <w:r>
              <w:rPr>
                <w:color w:val="000000"/>
                <w:sz w:val="24"/>
                <w:szCs w:val="24"/>
              </w:rPr>
              <w:t xml:space="preserve"> електронний кабінет або іншу державну інформаційну систему, інтегровану з електронним кабінетом, користувачами якої є замовник та відділ з питань державного архітектурно-будівельного контролю  виконкому Криворізької міської ради (надалі – відділ);</w:t>
            </w:r>
          </w:p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 у па</w:t>
            </w:r>
            <w:r>
              <w:rPr>
                <w:color w:val="000000"/>
                <w:sz w:val="24"/>
                <w:szCs w:val="24"/>
              </w:rPr>
              <w:t>перовій формі особисто замовником (його уповноваженою особою) або поштовим відправленням з описом вкладення через Центр</w:t>
            </w:r>
          </w:p>
        </w:tc>
      </w:tr>
      <w:tr w:rsidR="00AD1F7D" w:rsidTr="00AD0770">
        <w:trPr>
          <w:trHeight w:val="3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Платність/безоплатність публічної послуги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Безоплатно</w:t>
            </w:r>
          </w:p>
        </w:tc>
      </w:tr>
      <w:tr w:rsidR="00AD1F7D" w:rsidTr="00AD0770">
        <w:trPr>
          <w:trHeight w:val="160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У разі оплати публічної послуги:</w:t>
            </w:r>
          </w:p>
        </w:tc>
      </w:tr>
      <w:tr w:rsidR="00AD1F7D" w:rsidTr="00AD07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Нормативно-правові акти, на підставі яких стягується плата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spacing w:after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D1F7D" w:rsidTr="00AD07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Розмір та порядок унесення плати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spacing w:after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D1F7D" w:rsidTr="00AD07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Розрахунковий рахунок для внесення плати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D1F7D" w:rsidTr="00AD07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Строк надання публічної послуги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 робочих днів**</w:t>
            </w:r>
          </w:p>
        </w:tc>
      </w:tr>
      <w:tr w:rsidR="00AD1F7D" w:rsidTr="00AD07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підстав для відмови в наданні публічної послуги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D1F7D" w:rsidTr="00AD07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 надання публічної послуги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Унесення даних до Реєстру будівельної діяльності Єдиної державної електронної системи у сфері будівництва </w:t>
            </w:r>
          </w:p>
        </w:tc>
      </w:tr>
      <w:tr w:rsidR="00AD1F7D" w:rsidTr="00AD0770">
        <w:trPr>
          <w:trHeight w:val="7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Спосіб отримання результату надання публічної послуги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Доступ до результатів послуги здійснюється через:</w:t>
            </w:r>
          </w:p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портал Єдиної державної електронної системи у сфері будівництва (надалі – електронна система) у порядку, визначеному Кабінетом Міністрів України;</w:t>
            </w:r>
          </w:p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ел</w:t>
            </w:r>
            <w:r>
              <w:rPr>
                <w:color w:val="000000"/>
                <w:sz w:val="24"/>
                <w:szCs w:val="24"/>
              </w:rPr>
              <w:t>ектронний кабінет (у разі його наявності);</w:t>
            </w:r>
          </w:p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24"/>
                <w:szCs w:val="24"/>
              </w:rPr>
              <w:t>- іншу державну інформаційну систему, користувачами якої є суб’єкт звернення та відділ, - у разі подання документів з використанням такої системи</w:t>
            </w:r>
          </w:p>
        </w:tc>
      </w:tr>
      <w:tr w:rsidR="00AD1F7D" w:rsidTr="00AD07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Примітка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У разі ненадання даних, що є обов’язковими для подання, згідно з формою додатка 1 до Порядку, повідомлення повертається з рекомендаціями щодо усунення недоліків.</w:t>
            </w:r>
          </w:p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разі зміни генерального підрядника чи підрядника (якщо підготовчі роботи здійснюються без за</w:t>
            </w:r>
            <w:r>
              <w:rPr>
                <w:color w:val="000000"/>
                <w:sz w:val="24"/>
                <w:szCs w:val="24"/>
              </w:rPr>
              <w:t>лучення субпідрядників), замовник (його уповноважена особа) повідомляє відділ про такі зміни через електронний кабінет.</w:t>
            </w:r>
          </w:p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випадках, установлених у Порядку ведення електронної системи, у разі подання повідомлення через електронний кабінет, унесення до Реєст</w:t>
            </w:r>
            <w:r>
              <w:rPr>
                <w:color w:val="000000"/>
                <w:sz w:val="24"/>
                <w:szCs w:val="24"/>
              </w:rPr>
              <w:t>ру будівельної діяльності інформації, зазначеної в повідомленні, та проставлення відмітки про місцезнаходження об’єкта будівництва на картографічній основі здійснюються в режимі реального часу автоматично програмними засобами електронної системи.</w:t>
            </w:r>
          </w:p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Повідомле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ння про початок виконання підготовчих робіт не дає права на виконання будівельних робіт. </w:t>
            </w:r>
          </w:p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Замовник несе відповідальність за повноту та достовірність даних, зазначених у поданому ним повідомленні.</w:t>
            </w:r>
          </w:p>
          <w:p w:rsidR="00AD1F7D" w:rsidRDefault="00AD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Продовження виконання підготовчих робіт без подання такого повідомлення забороняється</w:t>
            </w:r>
          </w:p>
        </w:tc>
      </w:tr>
    </w:tbl>
    <w:p w:rsidR="00AD1F7D" w:rsidRDefault="00AD1F7D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color w:val="000000"/>
          <w:sz w:val="24"/>
          <w:szCs w:val="24"/>
        </w:rPr>
      </w:pPr>
    </w:p>
    <w:p w:rsidR="00AD1F7D" w:rsidRDefault="00AD0770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У випадку наявності двох і більше замовників та/або двох і більше земельних ділянок, відповідна інформація зазначається в додатках, що є невід’ємною частиною документ</w:t>
      </w:r>
      <w:r>
        <w:rPr>
          <w:color w:val="000000"/>
          <w:sz w:val="24"/>
          <w:szCs w:val="24"/>
        </w:rPr>
        <w:t>а, який подається для отримання послуги.</w:t>
      </w:r>
    </w:p>
    <w:p w:rsidR="00AD1F7D" w:rsidRDefault="00AD0770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 Відповідно до п. 71 Порядку ведення Єдиної державної електронної системи у сфері будівництва, затвердженого Постановою Кабінету Міністрів від 23 червня 2021 року №681 «Деякі питання забезпечення функціонування Єдиної державної електронної системи у сфер</w:t>
      </w:r>
      <w:r>
        <w:rPr>
          <w:color w:val="000000"/>
          <w:sz w:val="24"/>
          <w:szCs w:val="24"/>
        </w:rPr>
        <w:t>і будівництва»: «У разі, коли під час формування документа для отримання адміністративної та іншої послуги у сфері будівництва замовником будівництва зазначено документ або дію, визначені пунктом 59 цього Порядку, повідомлення про початок виконання підгото</w:t>
      </w:r>
      <w:r>
        <w:rPr>
          <w:color w:val="000000"/>
          <w:sz w:val="24"/>
          <w:szCs w:val="24"/>
        </w:rPr>
        <w:t>вчих/будівельних робіт, які створено/вчинено до запровадження його створення/вчинення з використанням електронної системи, відомості про такий документ надсилаються автоматично програмними засобами електронної системи до суб’єкта, який видав такий документ</w:t>
      </w:r>
      <w:r>
        <w:rPr>
          <w:color w:val="000000"/>
          <w:sz w:val="24"/>
          <w:szCs w:val="24"/>
        </w:rPr>
        <w:t xml:space="preserve"> (правонаступнику – в разі його наявності), за умови авторизації такого користувача в електронному кабінеті. Суб’єкт, який видав документ, протягом п’яти робочих днів з дня отримання відомостей підтверджує видачу такого документа та вносить відомості про т</w:t>
      </w:r>
      <w:r>
        <w:rPr>
          <w:color w:val="000000"/>
          <w:sz w:val="24"/>
          <w:szCs w:val="24"/>
        </w:rPr>
        <w:t>акий документ та його скановану копію (за наявності) до Реєстру будівельної діяльності електронної системи або повідомляє про внесення замовником будівництва недостовірних відомостей.».</w:t>
      </w:r>
    </w:p>
    <w:p w:rsidR="00AD1F7D" w:rsidRDefault="00AD1F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sectPr w:rsidR="00AD1F7D">
      <w:headerReference w:type="default" r:id="rId7"/>
      <w:pgSz w:w="11906" w:h="16838"/>
      <w:pgMar w:top="709" w:right="992" w:bottom="993" w:left="1418" w:header="567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0770">
      <w:r>
        <w:separator/>
      </w:r>
    </w:p>
  </w:endnote>
  <w:endnote w:type="continuationSeparator" w:id="0">
    <w:p w:rsidR="00000000" w:rsidRDefault="00AD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0770">
      <w:r>
        <w:separator/>
      </w:r>
    </w:p>
  </w:footnote>
  <w:footnote w:type="continuationSeparator" w:id="0">
    <w:p w:rsidR="00000000" w:rsidRDefault="00AD0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F7D" w:rsidRDefault="00AD077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025BFC"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:rsidR="00AD1F7D" w:rsidRDefault="00AD1F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1F7D"/>
    <w:rsid w:val="00025BFC"/>
    <w:rsid w:val="00AD0770"/>
    <w:rsid w:val="00AD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User012</dc:creator>
  <cp:lastModifiedBy>Пользователь Windows</cp:lastModifiedBy>
  <cp:revision>3</cp:revision>
  <dcterms:created xsi:type="dcterms:W3CDTF">2021-12-28T10:33:00Z</dcterms:created>
  <dcterms:modified xsi:type="dcterms:W3CDTF">2021-12-28T10:35:00Z</dcterms:modified>
</cp:coreProperties>
</file>