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DA" w:rsidRDefault="00D74240" w:rsidP="00D742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 w:firstLine="708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p w:rsidR="00D062DA" w:rsidRDefault="00D062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D062DA" w:rsidRDefault="00D742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ІНФОРМАЦІЙНА КАРТКА АДМІНІСТРАТИВНОЇ ПОСЛУГИ </w:t>
      </w:r>
    </w:p>
    <w:p w:rsidR="00D062DA" w:rsidRPr="00D74240" w:rsidRDefault="00D742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4"/>
          <w:szCs w:val="24"/>
        </w:rPr>
        <w:t>Послуга:</w:t>
      </w:r>
      <w:r>
        <w:rPr>
          <w:b/>
          <w:i/>
          <w:color w:val="000000"/>
          <w:sz w:val="24"/>
          <w:szCs w:val="24"/>
        </w:rPr>
        <w:t xml:space="preserve"> </w:t>
      </w:r>
      <w:bookmarkStart w:id="0" w:name="_GoBack"/>
      <w:r w:rsidRPr="00D74240">
        <w:rPr>
          <w:b/>
          <w:i/>
          <w:color w:val="000000"/>
          <w:sz w:val="28"/>
          <w:szCs w:val="28"/>
        </w:rPr>
        <w:t>Реєстрація декларації про готовність об'єкта до експлуатації (щодо об’єктів,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</w:t>
      </w:r>
      <w:r w:rsidRPr="00D74240">
        <w:rPr>
          <w:b/>
          <w:i/>
          <w:color w:val="000000"/>
          <w:sz w:val="28"/>
          <w:szCs w:val="28"/>
        </w:rPr>
        <w:t>кумента на виконання будівельних робіт)</w:t>
      </w:r>
    </w:p>
    <w:bookmarkEnd w:id="0"/>
    <w:p w:rsidR="00D062DA" w:rsidRDefault="00D062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5"/>
        <w:tblW w:w="98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724"/>
        <w:gridCol w:w="5517"/>
      </w:tblGrid>
      <w:tr w:rsidR="00D062DA" w:rsidTr="00D74240">
        <w:trPr>
          <w:trHeight w:val="262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D74240" w:rsidTr="00D74240">
        <w:trPr>
          <w:trHeight w:val="711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74240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Найменування центру надання адміністративних послуг, у якому здійснюється обслуговування суб’єкта звернення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240" w:rsidRPr="00C31A9D" w:rsidRDefault="00D74240" w:rsidP="00FF635D">
            <w:pPr>
              <w:suppressAutoHyphens/>
              <w:autoSpaceDN w:val="0"/>
              <w:ind w:left="-38" w:hanging="19"/>
              <w:jc w:val="both"/>
              <w:textAlignment w:val="baseline"/>
              <w:rPr>
                <w:b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b/>
                <w:kern w:val="3"/>
                <w:sz w:val="24"/>
                <w:szCs w:val="24"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D74240" w:rsidRPr="00C31A9D" w:rsidRDefault="00D74240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4240" w:rsidTr="00D74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240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240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Місцезнаходження Центру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40" w:rsidRPr="00C31A9D" w:rsidRDefault="00D74240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31A9D">
              <w:rPr>
                <w:kern w:val="3"/>
                <w:sz w:val="24"/>
                <w:szCs w:val="24"/>
                <w:lang w:eastAsia="uk-UA"/>
              </w:rPr>
              <w:t xml:space="preserve">вул. Подільська буд.12,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смт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. Нова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Ушиця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 Новоушицького району Хмельницької області,  32600</w:t>
            </w:r>
          </w:p>
          <w:p w:rsidR="00D74240" w:rsidRPr="00C31A9D" w:rsidRDefault="00D74240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D74240" w:rsidTr="00D74240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240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240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щодо режиму роботи Центру та його територіальних підрозділів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40" w:rsidRPr="00C31A9D" w:rsidRDefault="00D74240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iCs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iCs/>
                <w:kern w:val="3"/>
                <w:sz w:val="24"/>
                <w:szCs w:val="24"/>
                <w:lang w:eastAsia="uk-UA"/>
              </w:rPr>
              <w:t>Режим роботи ЦНАП:</w:t>
            </w:r>
          </w:p>
          <w:p w:rsidR="00D74240" w:rsidRPr="0075348A" w:rsidRDefault="00D74240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Понеділок</w:t>
            </w:r>
            <w:r>
              <w:rPr>
                <w:iCs/>
                <w:sz w:val="24"/>
                <w:szCs w:val="24"/>
                <w:lang w:eastAsia="uk-UA"/>
              </w:rPr>
              <w:t xml:space="preserve">, </w:t>
            </w:r>
            <w:r w:rsidRPr="00C31A9D">
              <w:rPr>
                <w:iCs/>
                <w:sz w:val="24"/>
                <w:szCs w:val="24"/>
                <w:lang w:eastAsia="uk-UA"/>
              </w:rPr>
              <w:t>вівторок, середа,</w:t>
            </w:r>
            <w:r>
              <w:rPr>
                <w:iCs/>
                <w:sz w:val="24"/>
                <w:szCs w:val="24"/>
                <w:lang w:eastAsia="uk-UA"/>
              </w:rPr>
              <w:t xml:space="preserve"> </w:t>
            </w:r>
            <w:r w:rsidRPr="00C31A9D">
              <w:rPr>
                <w:iCs/>
                <w:sz w:val="24"/>
                <w:szCs w:val="24"/>
                <w:lang w:eastAsia="uk-UA"/>
              </w:rPr>
              <w:t>четвер</w:t>
            </w:r>
            <w:r w:rsidRPr="0075348A">
              <w:rPr>
                <w:i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Cs/>
                <w:sz w:val="24"/>
                <w:szCs w:val="24"/>
                <w:lang w:eastAsia="uk-UA"/>
              </w:rPr>
              <w:t>з 8.00 до 16.00</w:t>
            </w:r>
          </w:p>
          <w:p w:rsidR="00D74240" w:rsidRPr="00C31A9D" w:rsidRDefault="00D74240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п’ятниця  з 8.00 до 1</w:t>
            </w:r>
            <w:r>
              <w:rPr>
                <w:iCs/>
                <w:sz w:val="24"/>
                <w:szCs w:val="24"/>
                <w:lang w:eastAsia="uk-UA"/>
              </w:rPr>
              <w:t>5</w:t>
            </w:r>
            <w:r w:rsidRPr="00C31A9D">
              <w:rPr>
                <w:iCs/>
                <w:sz w:val="24"/>
                <w:szCs w:val="24"/>
                <w:lang w:eastAsia="uk-UA"/>
              </w:rPr>
              <w:t xml:space="preserve">.00,  </w:t>
            </w:r>
          </w:p>
          <w:p w:rsidR="00D74240" w:rsidRPr="00C31A9D" w:rsidRDefault="00D74240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 xml:space="preserve">без перерви на обід </w:t>
            </w:r>
          </w:p>
          <w:p w:rsidR="00D74240" w:rsidRPr="00C31A9D" w:rsidRDefault="00D74240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вихідний – субота,  неділя</w:t>
            </w:r>
          </w:p>
        </w:tc>
      </w:tr>
      <w:tr w:rsidR="00D74240" w:rsidTr="00D74240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240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240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color w:val="000000"/>
                <w:sz w:val="24"/>
                <w:szCs w:val="24"/>
              </w:rPr>
              <w:t>вебсайт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Центру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40" w:rsidRDefault="00D74240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kern w:val="3"/>
              </w:rPr>
              <w:t>(03847) 3-00-55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74240" w:rsidRPr="00E46F11" w:rsidRDefault="00D74240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val="en-US" w:eastAsia="uk-UA"/>
              </w:rPr>
              <w:t>www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.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 xml:space="preserve"> 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D74240" w:rsidRPr="00E46F11" w:rsidRDefault="00D74240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nu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otg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@ukr.net</w:t>
            </w:r>
          </w:p>
          <w:p w:rsidR="00D74240" w:rsidRDefault="00D74240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062DA" w:rsidTr="00D74240">
        <w:trPr>
          <w:trHeight w:val="213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062DA" w:rsidTr="00D74240">
        <w:trPr>
          <w:trHeight w:val="5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Кодекси, Закони України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9 розділу V «Прикінцеві положення» Закону України «Про регулювання містобудівної діяльності», Закон України «Про адміністративні послуги»</w:t>
            </w:r>
          </w:p>
        </w:tc>
      </w:tr>
      <w:tr w:rsidR="00D062DA" w:rsidTr="00D74240">
        <w:trPr>
          <w:trHeight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Постанови Кабінету Міністрів України від 13 квітня 2011 року №461 «Питання прийняття в експлуатацію закінчених будівництвом об'єктів», зі змінами, 23 червня 2021 року №681 «Деякі питання забезпечення функціонування Єдиної державної електронної системи у сф</w:t>
            </w:r>
            <w:r>
              <w:rPr>
                <w:color w:val="000000"/>
                <w:sz w:val="24"/>
                <w:szCs w:val="24"/>
              </w:rPr>
              <w:t>ері будівництва», Розпорядження Кабінету Міністрів України від 16 травня 2014 року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D062DA" w:rsidTr="00D74240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Наказ Міністерства регіонального розвитку, будівництва та житлово-комунального </w:t>
            </w:r>
            <w:r>
              <w:rPr>
                <w:sz w:val="24"/>
                <w:szCs w:val="24"/>
              </w:rPr>
              <w:t>господарства</w:t>
            </w:r>
            <w:r>
              <w:rPr>
                <w:color w:val="000000"/>
                <w:sz w:val="24"/>
                <w:szCs w:val="24"/>
              </w:rPr>
              <w:t xml:space="preserve"> України від 03 липня 2018 року №158 «Про затвердження Порядку проведення технічного обстеження і прийняття в експлуатацію індивідуальних (садибних) житлових будинкі</w:t>
            </w:r>
            <w:r>
              <w:rPr>
                <w:color w:val="000000"/>
                <w:sz w:val="24"/>
                <w:szCs w:val="24"/>
              </w:rPr>
              <w:t xml:space="preserve">в, садових, дачних будинків, господарських (присадибних) будівель і споруд, будівель і споруд </w:t>
            </w:r>
            <w:r>
              <w:rPr>
                <w:color w:val="000000"/>
                <w:sz w:val="24"/>
                <w:szCs w:val="24"/>
              </w:rPr>
              <w:lastRenderedPageBreak/>
              <w:t>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</w:t>
            </w:r>
            <w:r>
              <w:rPr>
                <w:color w:val="000000"/>
                <w:sz w:val="24"/>
                <w:szCs w:val="24"/>
              </w:rPr>
              <w:t>ідповідного цільового призначення без дозвільного документа на виконання будівельних робіт» (надалі – Порядок)</w:t>
            </w:r>
          </w:p>
        </w:tc>
      </w:tr>
      <w:tr w:rsidR="00D062DA" w:rsidTr="00D74240">
        <w:trPr>
          <w:trHeight w:val="8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062DA" w:rsidTr="00D74240">
        <w:trPr>
          <w:trHeight w:val="222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062DA" w:rsidTr="00D74240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</w:t>
            </w:r>
            <w:r>
              <w:rPr>
                <w:color w:val="000000"/>
                <w:sz w:val="24"/>
                <w:szCs w:val="24"/>
              </w:rPr>
              <w:t>м наслідків (</w:t>
            </w:r>
            <w:r>
              <w:rPr>
                <w:sz w:val="24"/>
                <w:szCs w:val="24"/>
              </w:rPr>
              <w:t>відповідальності</w:t>
            </w:r>
            <w:r>
              <w:rPr>
                <w:color w:val="000000"/>
                <w:sz w:val="24"/>
                <w:szCs w:val="24"/>
              </w:rPr>
              <w:t>) належать до об'єктів з незначними наслідками (СС1), збудовані на земельній ділянці  відповідного цільового призначення без дозвільного документа на виконання будівельних робіт</w:t>
            </w:r>
          </w:p>
        </w:tc>
      </w:tr>
      <w:tr w:rsidR="00D062DA" w:rsidTr="00D74240">
        <w:trPr>
          <w:trHeight w:val="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Заява в довільній формі.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Один примірник заповненої декларації про готовність об'єкта до експлуатації за формою встановленого зразка згідно з Наказом  Міністерства регіона</w:t>
            </w:r>
            <w:r>
              <w:rPr>
                <w:color w:val="000000"/>
                <w:sz w:val="24"/>
                <w:szCs w:val="24"/>
              </w:rPr>
              <w:t>льного розвитку, будівництва та житлово-комунального господарства України від 03 липня 2018 року №158.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Засвідчені в установленому порядку копії: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документа, що посвідчує право власності чи користування земельною ділянкою відповідного цільового призначення, на якій розміщено об'єкт;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технічного паспорта.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Звіт про проведення технічного обстеження (надається у випадках, коли на об'єктах, на які п</w:t>
            </w:r>
            <w:r>
              <w:rPr>
                <w:color w:val="000000"/>
                <w:sz w:val="24"/>
                <w:szCs w:val="24"/>
              </w:rPr>
              <w:t>оширюється дія Порядку, загальна площа господарських (присадибних) будівель і споруд перевищує 100 квадратних метрів, та для будівель і споруд сільськогосподарського призначення)</w:t>
            </w:r>
          </w:p>
        </w:tc>
      </w:tr>
      <w:tr w:rsidR="00D062DA" w:rsidTr="00D74240">
        <w:trPr>
          <w:trHeight w:val="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та спосіб подання документів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вибором замовника: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в електронній формі через електронний кабінет або іншу державну інформаційну систему, інтегровану з електронним кабінетом, користувачами якої є замовник та відділ з питань державного архітектурно-будівельного контролю виконкому Криворізької міської ради</w:t>
            </w:r>
            <w:r>
              <w:rPr>
                <w:color w:val="000000"/>
                <w:sz w:val="24"/>
                <w:szCs w:val="24"/>
              </w:rPr>
              <w:t xml:space="preserve"> (надалі – відділ);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у паперовій формі особисто замовником (його уповноваженою особою) або поштовим відправленням з описом вкладення через Центр</w:t>
            </w:r>
          </w:p>
        </w:tc>
      </w:tr>
      <w:tr w:rsidR="00D062DA" w:rsidTr="00D74240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Платність/безоплатність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D062DA" w:rsidTr="00D74240"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 разі оплати адміністративної послуги:</w:t>
            </w:r>
          </w:p>
        </w:tc>
      </w:tr>
      <w:tr w:rsidR="00D062DA" w:rsidTr="00D74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062DA" w:rsidTr="00D74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Розмір та порядок унесення плати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062DA" w:rsidTr="00D74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062DA" w:rsidTr="00D74240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робочих днів**</w:t>
            </w:r>
          </w:p>
        </w:tc>
      </w:tr>
      <w:tr w:rsidR="00D062DA" w:rsidTr="00D74240">
        <w:trPr>
          <w:trHeight w:val="3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062DA" w:rsidTr="00D74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Реєстрація декларації про готовність об'єкта до експлуатації</w:t>
            </w:r>
          </w:p>
        </w:tc>
      </w:tr>
      <w:tr w:rsidR="00D062DA" w:rsidTr="00D74240">
        <w:trPr>
          <w:trHeight w:val="3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Спосіб отримання результату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 до результатів послуги здійснюється через: - портал Єдиної державної електронної системи у сфері будівництва (надалі – електронна система) у порядку, визначеному Кабінетом Міністрів України;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електронний кабінет (у разі його наявності);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іншу держ</w:t>
            </w:r>
            <w:r>
              <w:rPr>
                <w:color w:val="000000"/>
                <w:sz w:val="24"/>
                <w:szCs w:val="24"/>
              </w:rPr>
              <w:t>авну інформаційну систему, користувачами якої є суб’єкт звернення та відділ, -  у разі подання документів з використанням такої системи</w:t>
            </w:r>
          </w:p>
        </w:tc>
      </w:tr>
      <w:tr w:rsidR="00D062DA" w:rsidTr="00D74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Примітка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Відділ повертає замовнику (або уповноваженій особі на підставі відповідних документів) декларацію та подані документи на доопрацювання з обґрунтуванням причин у строк, передбачений для її реєстрації, якщо декларацію подано чи оформлено з порушенням вимог, </w:t>
            </w:r>
            <w:r>
              <w:rPr>
                <w:color w:val="000000"/>
                <w:sz w:val="24"/>
                <w:szCs w:val="24"/>
              </w:rPr>
              <w:t>установлених Порядком, у тому числі в разі виявлення невідповідності поданих документів вимогам законодавства, недостові</w:t>
            </w:r>
            <w:bookmarkStart w:id="1" w:name="gjdgxs" w:colFirst="0" w:colLast="0"/>
            <w:bookmarkEnd w:id="1"/>
            <w:r>
              <w:rPr>
                <w:color w:val="000000"/>
                <w:sz w:val="24"/>
                <w:szCs w:val="24"/>
              </w:rPr>
              <w:t>рних відомостей у поданих документах.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результатами проведення технічного обстеження в експлуатацію приймаються об’єкти: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індивідуал</w:t>
            </w:r>
            <w:r>
              <w:rPr>
                <w:color w:val="000000"/>
                <w:sz w:val="24"/>
                <w:szCs w:val="24"/>
              </w:rPr>
              <w:t>ьні (садибні) житлові будинки, садові, дачні будинки загальною площею до 300 кв. м, а також господарські (присадибні) будівлі й споруди загальною площею до 300 кв. м, споруджені з 05.08.1992 до 09.04.2015;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будівлі й споруди сільськогосподарського признач</w:t>
            </w:r>
            <w:r>
              <w:rPr>
                <w:color w:val="000000"/>
                <w:sz w:val="24"/>
                <w:szCs w:val="24"/>
              </w:rPr>
              <w:t>ення, що за класом наслідків (</w:t>
            </w:r>
            <w:r>
              <w:rPr>
                <w:sz w:val="24"/>
                <w:szCs w:val="24"/>
              </w:rPr>
              <w:t>відповідальності</w:t>
            </w:r>
            <w:r>
              <w:rPr>
                <w:color w:val="000000"/>
                <w:sz w:val="24"/>
                <w:szCs w:val="24"/>
              </w:rPr>
              <w:t>) належать до об’єктів з незначними наслідками (СС1), збудовані до 12.03.2011.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Технічні паспорти, складені до набуття чинності Порядком (до 31.08.2018) щодо індивідуальних (садибних) житлових будинків, садових,</w:t>
            </w:r>
            <w:r>
              <w:rPr>
                <w:color w:val="000000"/>
                <w:sz w:val="24"/>
                <w:szCs w:val="24"/>
              </w:rPr>
              <w:t xml:space="preserve"> дачних будинків загальною площею до 300 кв. м включно, а також господарських (присадибних) будівель і споруд загальною площею до 100 кв. м включно, подаються за умови проставлення в них відповідної відмітки про проведення технічного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обстеження зазначених </w:t>
            </w:r>
            <w:r>
              <w:rPr>
                <w:color w:val="000000"/>
                <w:sz w:val="24"/>
                <w:szCs w:val="24"/>
              </w:rPr>
              <w:t>вище об’єктів.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Заяву про прийняття в експлуатацію об'єкта підписують усі співвласники земельної ділянки та/або зазначеного об'єкта (у разі їх наявності).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2" w:name="30j0zll" w:colFirst="0" w:colLast="0"/>
            <w:bookmarkEnd w:id="2"/>
            <w:r>
              <w:rPr>
                <w:color w:val="000000"/>
                <w:sz w:val="24"/>
                <w:szCs w:val="24"/>
              </w:rPr>
              <w:t>Дані, зазначені в декларації, мають узгоджуватися з документами, що подаються разом з нею.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Замовник є</w:t>
            </w:r>
            <w:r>
              <w:rPr>
                <w:color w:val="000000"/>
                <w:sz w:val="24"/>
                <w:szCs w:val="24"/>
              </w:rPr>
              <w:t xml:space="preserve"> відповідальним за повноту та достовірність даних, зазначених у поданій ним декларації, відповідно до вимог чинного законодавства.</w:t>
            </w:r>
          </w:p>
          <w:p w:rsidR="00D062DA" w:rsidRDefault="00D7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До власників (користувачів) земельних ділянок, які відповідно до </w:t>
            </w:r>
            <w:hyperlink r:id="rId7" w:anchor="n712">
              <w:r>
                <w:rPr>
                  <w:color w:val="000000"/>
                  <w:sz w:val="24"/>
                  <w:szCs w:val="24"/>
                </w:rPr>
                <w:t>пункту 9</w:t>
              </w:r>
            </w:hyperlink>
            <w:r>
              <w:rPr>
                <w:color w:val="000000"/>
                <w:sz w:val="24"/>
                <w:szCs w:val="24"/>
              </w:rPr>
              <w:t xml:space="preserve"> розділу V «Прикінцеві     положення» Закону України «Про регулювання містобудівної діяльності» подали документи про прийняття в експлуатацію об’єктів, штрафні        санкції за виконання будівельних робіт без отримання документів, що д</w:t>
            </w:r>
            <w:r>
              <w:rPr>
                <w:color w:val="000000"/>
                <w:sz w:val="24"/>
                <w:szCs w:val="24"/>
              </w:rPr>
              <w:t>ають право на їх виконання, та за експлуатацію або використання об’єктів будівництва, не прийнятих в експлуатацію, не     застосовуються</w:t>
            </w:r>
          </w:p>
        </w:tc>
      </w:tr>
    </w:tbl>
    <w:p w:rsidR="00D062DA" w:rsidRDefault="00D74240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* У випадку наявності двох і більше замовників та/або двох і більше земельних ділянок, відповідна інформація зазначається в додатках, що є невід’ємною частиною документа, який подається для отримання послуги.</w:t>
      </w:r>
    </w:p>
    <w:p w:rsidR="00D062DA" w:rsidRDefault="00D74240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Відповідно до п. 71 Порядку ведення Єдиної д</w:t>
      </w:r>
      <w:r>
        <w:rPr>
          <w:color w:val="000000"/>
          <w:sz w:val="24"/>
          <w:szCs w:val="24"/>
        </w:rPr>
        <w:t>ержавної електронної системи у сфері будівництва, затвердженого Постановою Кабінету Міністрів від 23 червня 2021 року №681 «Деякі питання забезпечення функціонування Єдиної державної електронної системи у сфері будівництва»: «У разі, коли під час формуванн</w:t>
      </w:r>
      <w:r>
        <w:rPr>
          <w:color w:val="000000"/>
          <w:sz w:val="24"/>
          <w:szCs w:val="24"/>
        </w:rPr>
        <w:t>я документа для отримання адміністративної та іншої послуги у сфері будівництва замовником будівництва зазначено документ або дію, визначені пунктом 59 цього Порядку, повідомлення про початок виконання підготовчих/будівельних робіт, які створено/вчинено до</w:t>
      </w:r>
      <w:r>
        <w:rPr>
          <w:color w:val="000000"/>
          <w:sz w:val="24"/>
          <w:szCs w:val="24"/>
        </w:rPr>
        <w:t xml:space="preserve"> запровадження його створення/вчинення з використанням електронної системи, відомості про такий документ надсилаються автоматично програмними засобами електронної системи до суб’єкта, який видав такий документ (правонаступнику – в разі його наявності), за </w:t>
      </w:r>
      <w:r>
        <w:rPr>
          <w:color w:val="000000"/>
          <w:sz w:val="24"/>
          <w:szCs w:val="24"/>
        </w:rPr>
        <w:t>умови авторизації такого користувача в електронному кабінеті. Суб’єкт, який видав документ, протягом п’яти робочих днів з дня отримання відомостей підтверджує видачу такого документа та вносить відомості про такий документ та його скановану копію (за наявн</w:t>
      </w:r>
      <w:r>
        <w:rPr>
          <w:color w:val="000000"/>
          <w:sz w:val="24"/>
          <w:szCs w:val="24"/>
        </w:rPr>
        <w:t>ості) до Реєстру будівельної діяльності електронної системи або повідомляє про внесення замовником будівництва недостовірних відомостей.».</w:t>
      </w:r>
    </w:p>
    <w:p w:rsidR="00D062DA" w:rsidRDefault="00D062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D062DA">
      <w:headerReference w:type="default" r:id="rId8"/>
      <w:pgSz w:w="11906" w:h="16838"/>
      <w:pgMar w:top="709" w:right="992" w:bottom="993" w:left="1418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4240">
      <w:r>
        <w:separator/>
      </w:r>
    </w:p>
  </w:endnote>
  <w:endnote w:type="continuationSeparator" w:id="0">
    <w:p w:rsidR="00000000" w:rsidRDefault="00D7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4240">
      <w:r>
        <w:separator/>
      </w:r>
    </w:p>
  </w:footnote>
  <w:footnote w:type="continuationSeparator" w:id="0">
    <w:p w:rsidR="00000000" w:rsidRDefault="00D7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DA" w:rsidRDefault="00D742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D71846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D062DA" w:rsidRDefault="00D062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62DA"/>
    <w:rsid w:val="00D062DA"/>
    <w:rsid w:val="00D71846"/>
    <w:rsid w:val="00D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3038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3</cp:revision>
  <dcterms:created xsi:type="dcterms:W3CDTF">2021-12-28T12:43:00Z</dcterms:created>
  <dcterms:modified xsi:type="dcterms:W3CDTF">2021-12-28T12:44:00Z</dcterms:modified>
</cp:coreProperties>
</file>